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426" w:tblpY="-689"/>
        <w:tblW w:w="9855" w:type="dxa"/>
        <w:tblLook w:val="04A0" w:firstRow="1" w:lastRow="0" w:firstColumn="1" w:lastColumn="0" w:noHBand="0" w:noVBand="1"/>
      </w:tblPr>
      <w:tblGrid>
        <w:gridCol w:w="2370"/>
        <w:gridCol w:w="5546"/>
        <w:gridCol w:w="1939"/>
      </w:tblGrid>
      <w:tr w:rsidR="00091AC6" w:rsidRPr="001B665B" w:rsidTr="00EF4AFA">
        <w:trPr>
          <w:trHeight w:val="204"/>
        </w:trPr>
        <w:tc>
          <w:tcPr>
            <w:tcW w:w="2370" w:type="dxa"/>
          </w:tcPr>
          <w:p w:rsidR="00091AC6" w:rsidRPr="001B665B" w:rsidRDefault="00091AC6" w:rsidP="00EF4AFA">
            <w:pPr>
              <w:pStyle w:val="Header"/>
            </w:pPr>
            <w:bookmarkStart w:id="0" w:name="_GoBack"/>
            <w:bookmarkEnd w:id="0"/>
          </w:p>
        </w:tc>
        <w:tc>
          <w:tcPr>
            <w:tcW w:w="5546" w:type="dxa"/>
            <w:vMerge w:val="restart"/>
          </w:tcPr>
          <w:p w:rsidR="00091AC6" w:rsidRPr="001B665B" w:rsidRDefault="00091AC6" w:rsidP="00EF4AF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B665B">
              <w:rPr>
                <w:rFonts w:ascii="Trebuchet MS" w:hAnsi="Trebuchet MS"/>
                <w:b/>
                <w:sz w:val="28"/>
                <w:szCs w:val="28"/>
              </w:rPr>
              <w:t>ST. KATHARINE’S C.E. (V.A.) PRIMARY SCHOOL</w:t>
            </w:r>
          </w:p>
          <w:p w:rsidR="00091AC6" w:rsidRDefault="00091AC6" w:rsidP="00EF4AFA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B665B">
              <w:rPr>
                <w:rFonts w:ascii="Trebuchet MS" w:hAnsi="Trebuchet MS"/>
                <w:b/>
              </w:rPr>
              <w:t xml:space="preserve">Rolls Drive · Southbourne · </w:t>
            </w:r>
            <w:smartTag w:uri="urn:schemas-microsoft-com:office:smarttags" w:element="place">
              <w:r w:rsidRPr="001B665B">
                <w:rPr>
                  <w:rFonts w:ascii="Trebuchet MS" w:hAnsi="Trebuchet MS"/>
                  <w:b/>
                </w:rPr>
                <w:t>Bournemouth</w:t>
              </w:r>
            </w:smartTag>
            <w:r w:rsidRPr="001B665B">
              <w:rPr>
                <w:rFonts w:ascii="Trebuchet MS" w:hAnsi="Trebuchet MS"/>
                <w:b/>
              </w:rPr>
              <w:t xml:space="preserve"> BH6 4NA</w:t>
            </w:r>
          </w:p>
          <w:p w:rsidR="00091AC6" w:rsidRPr="002961B2" w:rsidRDefault="00091AC6" w:rsidP="00EF4AFA">
            <w:pPr>
              <w:pStyle w:val="Footer"/>
              <w:tabs>
                <w:tab w:val="right" w:pos="9072"/>
              </w:tabs>
              <w:jc w:val="center"/>
              <w:rPr>
                <w:rFonts w:ascii="Trebuchet MS" w:hAnsi="Trebuchet MS"/>
                <w:b/>
                <w:i/>
                <w:color w:val="000099"/>
                <w:sz w:val="28"/>
                <w:szCs w:val="28"/>
              </w:rPr>
            </w:pPr>
          </w:p>
        </w:tc>
        <w:tc>
          <w:tcPr>
            <w:tcW w:w="1939" w:type="dxa"/>
          </w:tcPr>
          <w:p w:rsidR="00091AC6" w:rsidRPr="001B665B" w:rsidRDefault="00091AC6" w:rsidP="00EF4AFA">
            <w:pPr>
              <w:pStyle w:val="Header"/>
            </w:pPr>
          </w:p>
        </w:tc>
      </w:tr>
      <w:tr w:rsidR="00091AC6" w:rsidRPr="001B665B" w:rsidTr="00EF4AFA">
        <w:trPr>
          <w:trHeight w:val="1879"/>
        </w:trPr>
        <w:tc>
          <w:tcPr>
            <w:tcW w:w="2370" w:type="dxa"/>
          </w:tcPr>
          <w:p w:rsidR="00091AC6" w:rsidRPr="001B665B" w:rsidRDefault="00091AC6" w:rsidP="00EF4AFA">
            <w:pPr>
              <w:pStyle w:val="Header"/>
            </w:pPr>
            <w:r w:rsidRPr="008A4387">
              <w:rPr>
                <w:noProof/>
                <w:lang w:eastAsia="en-GB"/>
              </w:rPr>
              <w:drawing>
                <wp:inline distT="0" distB="0" distL="0" distR="0">
                  <wp:extent cx="1085850" cy="1137036"/>
                  <wp:effectExtent l="0" t="0" r="0" b="6350"/>
                  <wp:docPr id="2" name="Picture 2" descr="Description: Description: Logo-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Description: Logo-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52" cy="113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vMerge/>
          </w:tcPr>
          <w:p w:rsidR="00091AC6" w:rsidRPr="001B665B" w:rsidRDefault="00091AC6" w:rsidP="00EF4AFA">
            <w:pPr>
              <w:pStyle w:val="Header"/>
            </w:pPr>
          </w:p>
        </w:tc>
        <w:tc>
          <w:tcPr>
            <w:tcW w:w="1939" w:type="dxa"/>
          </w:tcPr>
          <w:p w:rsidR="00091AC6" w:rsidRPr="001B665B" w:rsidRDefault="00091AC6" w:rsidP="00EF4AFA">
            <w:pPr>
              <w:pStyle w:val="Header"/>
            </w:pPr>
            <w:r w:rsidRPr="008A4387">
              <w:rPr>
                <w:noProof/>
                <w:lang w:eastAsia="en-GB"/>
              </w:rPr>
              <w:drawing>
                <wp:inline distT="0" distB="0" distL="0" distR="0">
                  <wp:extent cx="962108" cy="1144905"/>
                  <wp:effectExtent l="0" t="0" r="0" b="0"/>
                  <wp:docPr id="1" name="Picture 1" descr="Description: Description: Wincheste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Wincheste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9" cy="11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AC6" w:rsidRDefault="00153C8C" w:rsidP="00091A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INFECTION AND ILLNESS GUIDE</w:t>
      </w:r>
    </w:p>
    <w:p w:rsidR="00EF4AFA" w:rsidRDefault="00EF4AFA" w:rsidP="00091AC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3463"/>
        <w:gridCol w:w="3483"/>
      </w:tblGrid>
      <w:tr w:rsidR="007947AB" w:rsidTr="00824857">
        <w:tc>
          <w:tcPr>
            <w:tcW w:w="2978" w:type="dxa"/>
          </w:tcPr>
          <w:p w:rsidR="007947AB" w:rsidRPr="007947AB" w:rsidRDefault="007947AB" w:rsidP="007947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Illness</w:t>
            </w:r>
          </w:p>
          <w:p w:rsidR="007947AB" w:rsidRDefault="007947AB" w:rsidP="007947AB"/>
          <w:p w:rsidR="007947AB" w:rsidRDefault="007947AB" w:rsidP="007947AB"/>
        </w:tc>
        <w:tc>
          <w:tcPr>
            <w:tcW w:w="3463" w:type="dxa"/>
          </w:tcPr>
          <w:p w:rsidR="007947AB" w:rsidRPr="007947AB" w:rsidRDefault="007947AB" w:rsidP="007947AB">
            <w:pPr>
              <w:rPr>
                <w:b/>
                <w:sz w:val="26"/>
                <w:szCs w:val="26"/>
              </w:rPr>
            </w:pPr>
            <w:r w:rsidRPr="007947AB">
              <w:rPr>
                <w:b/>
                <w:sz w:val="26"/>
                <w:szCs w:val="26"/>
              </w:rPr>
              <w:t>Recommended period to be kept away from school</w:t>
            </w:r>
          </w:p>
        </w:tc>
        <w:tc>
          <w:tcPr>
            <w:tcW w:w="3483" w:type="dxa"/>
          </w:tcPr>
          <w:p w:rsidR="007947AB" w:rsidRDefault="007947AB" w:rsidP="007947AB">
            <w:r w:rsidRPr="007947AB">
              <w:rPr>
                <w:b/>
                <w:sz w:val="26"/>
                <w:szCs w:val="26"/>
              </w:rPr>
              <w:t>Comments</w:t>
            </w:r>
          </w:p>
        </w:tc>
      </w:tr>
      <w:tr w:rsidR="007947AB" w:rsidTr="00824857">
        <w:tc>
          <w:tcPr>
            <w:tcW w:w="2978" w:type="dxa"/>
          </w:tcPr>
          <w:p w:rsidR="007947AB" w:rsidRDefault="003F7D4E">
            <w:r>
              <w:t>Diarrhoea</w:t>
            </w:r>
            <w:r w:rsidR="00375ABC">
              <w:t xml:space="preserve"> and/ or V</w:t>
            </w:r>
            <w:r w:rsidR="00B6438B">
              <w:t>omiting</w:t>
            </w:r>
          </w:p>
        </w:tc>
        <w:tc>
          <w:tcPr>
            <w:tcW w:w="3463" w:type="dxa"/>
          </w:tcPr>
          <w:p w:rsidR="007947AB" w:rsidRDefault="00B6438B">
            <w:r>
              <w:t>48 hours from last episode of diarrhoea or vomiting.</w:t>
            </w:r>
          </w:p>
        </w:tc>
        <w:tc>
          <w:tcPr>
            <w:tcW w:w="3483" w:type="dxa"/>
          </w:tcPr>
          <w:p w:rsidR="007947AB" w:rsidRDefault="00B6438B">
            <w:r>
              <w:t>Exclusions from swimming should be 2 weeks following the last episode of diarrhoea.</w:t>
            </w:r>
          </w:p>
          <w:p w:rsidR="00B6438B" w:rsidRDefault="00B6438B"/>
        </w:tc>
      </w:tr>
      <w:tr w:rsidR="007947AB" w:rsidTr="00824857">
        <w:tc>
          <w:tcPr>
            <w:tcW w:w="2978" w:type="dxa"/>
          </w:tcPr>
          <w:p w:rsidR="007947AB" w:rsidRDefault="00435982">
            <w:r>
              <w:t>Athletes</w:t>
            </w:r>
            <w:r w:rsidR="00453B23">
              <w:t xml:space="preserve"> F</w:t>
            </w:r>
            <w:r w:rsidR="00044BE6">
              <w:t>oot</w:t>
            </w:r>
          </w:p>
        </w:tc>
        <w:tc>
          <w:tcPr>
            <w:tcW w:w="3463" w:type="dxa"/>
          </w:tcPr>
          <w:p w:rsidR="007947AB" w:rsidRDefault="00435982">
            <w:r>
              <w:t>None.</w:t>
            </w:r>
          </w:p>
        </w:tc>
        <w:tc>
          <w:tcPr>
            <w:tcW w:w="3483" w:type="dxa"/>
          </w:tcPr>
          <w:p w:rsidR="007947AB" w:rsidRDefault="00435982">
            <w:r>
              <w:t>Athletes foot is not a serious condition. Treatment is recommended.</w:t>
            </w:r>
          </w:p>
          <w:p w:rsidR="00435982" w:rsidRDefault="00435982"/>
        </w:tc>
      </w:tr>
      <w:tr w:rsidR="007947AB" w:rsidTr="00824857">
        <w:tc>
          <w:tcPr>
            <w:tcW w:w="2978" w:type="dxa"/>
          </w:tcPr>
          <w:p w:rsidR="007947AB" w:rsidRDefault="00453B23">
            <w:r>
              <w:t>Chickenp</w:t>
            </w:r>
            <w:r w:rsidR="00044BE6">
              <w:t>ox*</w:t>
            </w:r>
          </w:p>
        </w:tc>
        <w:tc>
          <w:tcPr>
            <w:tcW w:w="3463" w:type="dxa"/>
          </w:tcPr>
          <w:p w:rsidR="007947AB" w:rsidRDefault="00044BE6">
            <w:r>
              <w:t>5 days from onset of rash.</w:t>
            </w:r>
          </w:p>
        </w:tc>
        <w:tc>
          <w:tcPr>
            <w:tcW w:w="3483" w:type="dxa"/>
          </w:tcPr>
          <w:p w:rsidR="007947AB" w:rsidRDefault="00044BE6">
            <w:r>
              <w:t>See: female contacts – pregnancy.</w:t>
            </w:r>
          </w:p>
          <w:p w:rsidR="00044BE6" w:rsidRDefault="00044BE6"/>
        </w:tc>
      </w:tr>
      <w:tr w:rsidR="007947AB" w:rsidTr="00824857">
        <w:tc>
          <w:tcPr>
            <w:tcW w:w="2978" w:type="dxa"/>
          </w:tcPr>
          <w:p w:rsidR="007947AB" w:rsidRDefault="00044BE6">
            <w:r>
              <w:t>Cold Sores</w:t>
            </w:r>
          </w:p>
        </w:tc>
        <w:tc>
          <w:tcPr>
            <w:tcW w:w="3463" w:type="dxa"/>
          </w:tcPr>
          <w:p w:rsidR="007947AB" w:rsidRDefault="00051BCA">
            <w:r>
              <w:t>None.</w:t>
            </w:r>
          </w:p>
        </w:tc>
        <w:tc>
          <w:tcPr>
            <w:tcW w:w="3483" w:type="dxa"/>
          </w:tcPr>
          <w:p w:rsidR="007947AB" w:rsidRDefault="00051BCA">
            <w:r>
              <w:t>Avoid contact with the sores.  Cold sores are generally a mild self-limiting disease.</w:t>
            </w:r>
          </w:p>
          <w:p w:rsidR="00051BCA" w:rsidRDefault="00051BCA"/>
        </w:tc>
      </w:tr>
      <w:tr w:rsidR="007947AB" w:rsidTr="00824857">
        <w:tc>
          <w:tcPr>
            <w:tcW w:w="2978" w:type="dxa"/>
          </w:tcPr>
          <w:p w:rsidR="007947AB" w:rsidRDefault="00051BCA">
            <w:r>
              <w:t>Conjunctivitis</w:t>
            </w:r>
          </w:p>
        </w:tc>
        <w:tc>
          <w:tcPr>
            <w:tcW w:w="3463" w:type="dxa"/>
          </w:tcPr>
          <w:p w:rsidR="007947AB" w:rsidRDefault="00051BCA">
            <w:r>
              <w:t>None.</w:t>
            </w:r>
          </w:p>
          <w:p w:rsidR="00051BCA" w:rsidRDefault="00051BCA"/>
        </w:tc>
        <w:tc>
          <w:tcPr>
            <w:tcW w:w="3483" w:type="dxa"/>
          </w:tcPr>
          <w:p w:rsidR="007947AB" w:rsidRDefault="007947AB"/>
        </w:tc>
      </w:tr>
      <w:tr w:rsidR="007947AB" w:rsidTr="00824857">
        <w:tc>
          <w:tcPr>
            <w:tcW w:w="2978" w:type="dxa"/>
          </w:tcPr>
          <w:p w:rsidR="007947AB" w:rsidRDefault="00051BCA">
            <w:r>
              <w:t>Impetigo</w:t>
            </w:r>
          </w:p>
        </w:tc>
        <w:tc>
          <w:tcPr>
            <w:tcW w:w="3463" w:type="dxa"/>
          </w:tcPr>
          <w:p w:rsidR="007947AB" w:rsidRDefault="00051BCA">
            <w:r>
              <w:t>Until lesions are crusted or healed.</w:t>
            </w:r>
          </w:p>
        </w:tc>
        <w:tc>
          <w:tcPr>
            <w:tcW w:w="3483" w:type="dxa"/>
          </w:tcPr>
          <w:p w:rsidR="007947AB" w:rsidRDefault="00051BCA">
            <w:r>
              <w:t>Antibiotic treatment by mouth may speed healing and reduce infectious period.</w:t>
            </w:r>
          </w:p>
          <w:p w:rsidR="00051BCA" w:rsidRDefault="00051BCA"/>
        </w:tc>
      </w:tr>
      <w:tr w:rsidR="007947AB" w:rsidTr="00824857">
        <w:tc>
          <w:tcPr>
            <w:tcW w:w="2978" w:type="dxa"/>
          </w:tcPr>
          <w:p w:rsidR="007947AB" w:rsidRDefault="00051BCA">
            <w:r>
              <w:t>Molluscum Contagiosum</w:t>
            </w:r>
          </w:p>
        </w:tc>
        <w:tc>
          <w:tcPr>
            <w:tcW w:w="3463" w:type="dxa"/>
          </w:tcPr>
          <w:p w:rsidR="007947AB" w:rsidRDefault="00051BCA">
            <w:r>
              <w:t>None.</w:t>
            </w:r>
          </w:p>
        </w:tc>
        <w:tc>
          <w:tcPr>
            <w:tcW w:w="3483" w:type="dxa"/>
          </w:tcPr>
          <w:p w:rsidR="007947AB" w:rsidRDefault="00051BCA">
            <w:r>
              <w:t>A self-limiting condition.</w:t>
            </w:r>
          </w:p>
          <w:p w:rsidR="00051BCA" w:rsidRDefault="00051BCA"/>
        </w:tc>
      </w:tr>
      <w:tr w:rsidR="007947AB" w:rsidTr="00824857">
        <w:tc>
          <w:tcPr>
            <w:tcW w:w="2978" w:type="dxa"/>
          </w:tcPr>
          <w:p w:rsidR="007947AB" w:rsidRDefault="00051BCA" w:rsidP="003F7D4E">
            <w:r>
              <w:t>Ringworm</w:t>
            </w:r>
          </w:p>
        </w:tc>
        <w:tc>
          <w:tcPr>
            <w:tcW w:w="3463" w:type="dxa"/>
          </w:tcPr>
          <w:p w:rsidR="007947AB" w:rsidRDefault="00051BCA" w:rsidP="003F7D4E">
            <w:r>
              <w:t>Until treatment commenced.</w:t>
            </w:r>
          </w:p>
        </w:tc>
        <w:tc>
          <w:tcPr>
            <w:tcW w:w="3483" w:type="dxa"/>
          </w:tcPr>
          <w:p w:rsidR="007947AB" w:rsidRDefault="00051BCA" w:rsidP="003F7D4E">
            <w:r>
              <w:t>Treatment is important and available from the pharmacy.</w:t>
            </w:r>
          </w:p>
          <w:p w:rsidR="00051BCA" w:rsidRDefault="00051BCA" w:rsidP="003F7D4E">
            <w:r>
              <w:t xml:space="preserve">N.B For ringworm of scalp treatment by GP is required. </w:t>
            </w:r>
          </w:p>
          <w:p w:rsidR="00051BCA" w:rsidRDefault="00051BCA" w:rsidP="003F7D4E">
            <w:r>
              <w:t>Also check and treat symptomatic pets.</w:t>
            </w:r>
          </w:p>
          <w:p w:rsidR="00051BCA" w:rsidRDefault="00051BCA" w:rsidP="003F7D4E"/>
        </w:tc>
      </w:tr>
      <w:tr w:rsidR="007947AB" w:rsidTr="00824857">
        <w:tc>
          <w:tcPr>
            <w:tcW w:w="2978" w:type="dxa"/>
          </w:tcPr>
          <w:p w:rsidR="007947AB" w:rsidRDefault="00051BCA" w:rsidP="003F7D4E">
            <w:r>
              <w:t>Scabies</w:t>
            </w:r>
          </w:p>
        </w:tc>
        <w:tc>
          <w:tcPr>
            <w:tcW w:w="3463" w:type="dxa"/>
          </w:tcPr>
          <w:p w:rsidR="007947AB" w:rsidRDefault="00051BCA" w:rsidP="003F7D4E">
            <w:r>
              <w:t>Child can return after first treatment.</w:t>
            </w:r>
          </w:p>
        </w:tc>
        <w:tc>
          <w:tcPr>
            <w:tcW w:w="3483" w:type="dxa"/>
          </w:tcPr>
          <w:p w:rsidR="007947AB" w:rsidRDefault="00051BCA" w:rsidP="003F7D4E">
            <w:r>
              <w:t>Two treatments one week apart for cases.</w:t>
            </w:r>
          </w:p>
          <w:p w:rsidR="00051BCA" w:rsidRDefault="00051BCA" w:rsidP="003F7D4E">
            <w:r>
              <w:t>Contacts should have one treatment; include the entire household and any other very close contacts.</w:t>
            </w:r>
          </w:p>
          <w:p w:rsidR="00051BCA" w:rsidRDefault="00051BCA" w:rsidP="003F7D4E"/>
        </w:tc>
      </w:tr>
      <w:tr w:rsidR="007947AB" w:rsidTr="00824857">
        <w:tc>
          <w:tcPr>
            <w:tcW w:w="2978" w:type="dxa"/>
          </w:tcPr>
          <w:p w:rsidR="007947AB" w:rsidRDefault="00B31229" w:rsidP="003F7D4E">
            <w:r>
              <w:t>Slapped Cheek*</w:t>
            </w:r>
          </w:p>
          <w:p w:rsidR="00B31229" w:rsidRDefault="00B31229" w:rsidP="003F7D4E">
            <w:r>
              <w:t>(Fifth Disease/ Parvovirus B19)</w:t>
            </w:r>
          </w:p>
        </w:tc>
        <w:tc>
          <w:tcPr>
            <w:tcW w:w="3463" w:type="dxa"/>
          </w:tcPr>
          <w:p w:rsidR="007947AB" w:rsidRDefault="00B31229" w:rsidP="003F7D4E">
            <w:r>
              <w:t>None.</w:t>
            </w:r>
          </w:p>
        </w:tc>
        <w:tc>
          <w:tcPr>
            <w:tcW w:w="3483" w:type="dxa"/>
          </w:tcPr>
          <w:p w:rsidR="007947AB" w:rsidRDefault="00B31229" w:rsidP="00EF4AFA">
            <w:r>
              <w:t>Se</w:t>
            </w:r>
            <w:r w:rsidR="00EF4AFA">
              <w:t xml:space="preserve">e:  Female contacts – pregnancy </w:t>
            </w:r>
          </w:p>
        </w:tc>
      </w:tr>
      <w:tr w:rsidR="007947AB" w:rsidTr="00824857">
        <w:tc>
          <w:tcPr>
            <w:tcW w:w="2978" w:type="dxa"/>
          </w:tcPr>
          <w:p w:rsidR="007947AB" w:rsidRDefault="00B31229" w:rsidP="003F7D4E">
            <w:r>
              <w:lastRenderedPageBreak/>
              <w:t>Shingles</w:t>
            </w:r>
            <w:r w:rsidR="00C23A9F">
              <w:t>*</w:t>
            </w:r>
          </w:p>
        </w:tc>
        <w:tc>
          <w:tcPr>
            <w:tcW w:w="3463" w:type="dxa"/>
          </w:tcPr>
          <w:p w:rsidR="007947AB" w:rsidRDefault="00B31229" w:rsidP="003F7D4E">
            <w:r>
              <w:t>Exclude only if rash is weeping and cannot be covered.</w:t>
            </w:r>
          </w:p>
        </w:tc>
        <w:tc>
          <w:tcPr>
            <w:tcW w:w="3483" w:type="dxa"/>
          </w:tcPr>
          <w:p w:rsidR="007947AB" w:rsidRDefault="00C23A9F" w:rsidP="003F7D4E">
            <w:r>
              <w:t>Can cause chicken</w:t>
            </w:r>
            <w:r w:rsidR="00B31229">
              <w:t>pox in those who are not imm</w:t>
            </w:r>
            <w:r>
              <w:t>une.  i.e. have not had chicken</w:t>
            </w:r>
            <w:r w:rsidR="00B31229">
              <w:t>pox.  It is spread by very close contact and touch.</w:t>
            </w:r>
          </w:p>
          <w:p w:rsidR="00B31229" w:rsidRDefault="00B31229" w:rsidP="003F7D4E">
            <w:r>
              <w:t>See: female contacts – pregnancy.</w:t>
            </w:r>
          </w:p>
          <w:p w:rsidR="00B31229" w:rsidRDefault="00B31229" w:rsidP="003F7D4E"/>
        </w:tc>
      </w:tr>
      <w:tr w:rsidR="007947AB" w:rsidTr="00824857">
        <w:tc>
          <w:tcPr>
            <w:tcW w:w="2978" w:type="dxa"/>
          </w:tcPr>
          <w:p w:rsidR="007947AB" w:rsidRDefault="002240E0" w:rsidP="003F7D4E">
            <w:r>
              <w:t>Warts and V</w:t>
            </w:r>
            <w:r w:rsidR="002C6A03">
              <w:t>errucae</w:t>
            </w:r>
          </w:p>
        </w:tc>
        <w:tc>
          <w:tcPr>
            <w:tcW w:w="3463" w:type="dxa"/>
          </w:tcPr>
          <w:p w:rsidR="007947AB" w:rsidRDefault="002C6A03" w:rsidP="003F7D4E">
            <w:r>
              <w:t>None.</w:t>
            </w:r>
          </w:p>
        </w:tc>
        <w:tc>
          <w:tcPr>
            <w:tcW w:w="3483" w:type="dxa"/>
          </w:tcPr>
          <w:p w:rsidR="007947AB" w:rsidRDefault="002C6A03" w:rsidP="003F7D4E">
            <w:r>
              <w:t xml:space="preserve">Verrucae should be </w:t>
            </w:r>
            <w:r w:rsidR="004912D9">
              <w:t>covered in swimming pools, gymnasiums and changing rooms.</w:t>
            </w:r>
          </w:p>
          <w:p w:rsidR="004912D9" w:rsidRDefault="004912D9" w:rsidP="003F7D4E"/>
        </w:tc>
      </w:tr>
      <w:tr w:rsidR="007947AB" w:rsidTr="00824857">
        <w:tc>
          <w:tcPr>
            <w:tcW w:w="2978" w:type="dxa"/>
          </w:tcPr>
          <w:p w:rsidR="007947AB" w:rsidRDefault="00713D0B" w:rsidP="003F7D4E">
            <w:r>
              <w:t>Glandular Fever</w:t>
            </w:r>
          </w:p>
        </w:tc>
        <w:tc>
          <w:tcPr>
            <w:tcW w:w="3463" w:type="dxa"/>
          </w:tcPr>
          <w:p w:rsidR="007947AB" w:rsidRDefault="00713D0B" w:rsidP="003F7D4E">
            <w:r>
              <w:t>None.</w:t>
            </w:r>
          </w:p>
        </w:tc>
        <w:tc>
          <w:tcPr>
            <w:tcW w:w="3483" w:type="dxa"/>
          </w:tcPr>
          <w:p w:rsidR="007947AB" w:rsidRDefault="002E1EAD" w:rsidP="003F7D4E">
            <w:r>
              <w:t xml:space="preserve">About 50% of </w:t>
            </w:r>
            <w:r w:rsidR="00DA51B3">
              <w:t>children</w:t>
            </w:r>
            <w:r>
              <w:t xml:space="preserve"> get the disease before they are 5 and many adults also</w:t>
            </w:r>
            <w:r w:rsidR="00DA51B3">
              <w:t xml:space="preserve"> acquire the disease without being aware of it. </w:t>
            </w:r>
          </w:p>
          <w:p w:rsidR="00EF4AFA" w:rsidRDefault="00EF4AFA" w:rsidP="003F7D4E"/>
        </w:tc>
      </w:tr>
      <w:tr w:rsidR="007947AB" w:rsidTr="00824857">
        <w:tc>
          <w:tcPr>
            <w:tcW w:w="2978" w:type="dxa"/>
          </w:tcPr>
          <w:p w:rsidR="007947AB" w:rsidRDefault="00375ABC" w:rsidP="003F7D4E">
            <w:r>
              <w:t>Head L</w:t>
            </w:r>
            <w:r w:rsidR="00713D0B">
              <w:t>ice</w:t>
            </w:r>
          </w:p>
        </w:tc>
        <w:tc>
          <w:tcPr>
            <w:tcW w:w="3463" w:type="dxa"/>
          </w:tcPr>
          <w:p w:rsidR="007947AB" w:rsidRDefault="00713D0B" w:rsidP="003F7D4E">
            <w:r>
              <w:t>None.</w:t>
            </w:r>
          </w:p>
        </w:tc>
        <w:tc>
          <w:tcPr>
            <w:tcW w:w="3483" w:type="dxa"/>
          </w:tcPr>
          <w:p w:rsidR="007947AB" w:rsidRDefault="002E1EAD" w:rsidP="003F7D4E">
            <w:r>
              <w:t xml:space="preserve">Treatment is </w:t>
            </w:r>
            <w:r w:rsidR="00DA51B3">
              <w:t xml:space="preserve">recommended </w:t>
            </w:r>
            <w:r>
              <w:t>only in cases where live lice have been seen.  Close contacts should be checked and treated if live lice are found.  Regular detection combing should be carried out by parents.</w:t>
            </w:r>
          </w:p>
          <w:p w:rsidR="00EF4AFA" w:rsidRDefault="00EF4AFA" w:rsidP="003F7D4E"/>
        </w:tc>
      </w:tr>
      <w:tr w:rsidR="007947AB" w:rsidTr="00824857">
        <w:tc>
          <w:tcPr>
            <w:tcW w:w="2978" w:type="dxa"/>
          </w:tcPr>
          <w:p w:rsidR="007947AB" w:rsidRDefault="00713D0B" w:rsidP="003F7D4E">
            <w:r>
              <w:t>Threadworms</w:t>
            </w:r>
          </w:p>
        </w:tc>
        <w:tc>
          <w:tcPr>
            <w:tcW w:w="3463" w:type="dxa"/>
          </w:tcPr>
          <w:p w:rsidR="007947AB" w:rsidRDefault="00713D0B" w:rsidP="003F7D4E">
            <w:r>
              <w:t>None.</w:t>
            </w:r>
          </w:p>
        </w:tc>
        <w:tc>
          <w:tcPr>
            <w:tcW w:w="3483" w:type="dxa"/>
          </w:tcPr>
          <w:p w:rsidR="007947AB" w:rsidRDefault="002E1EAD" w:rsidP="003F7D4E">
            <w:r>
              <w:t>Treatment is recommended for the child and household contacts.</w:t>
            </w:r>
          </w:p>
          <w:p w:rsidR="00EF4AFA" w:rsidRDefault="00EF4AFA" w:rsidP="003F7D4E"/>
        </w:tc>
      </w:tr>
      <w:tr w:rsidR="007947AB" w:rsidTr="00824857">
        <w:tc>
          <w:tcPr>
            <w:tcW w:w="2978" w:type="dxa"/>
          </w:tcPr>
          <w:p w:rsidR="007947AB" w:rsidRDefault="001D388F" w:rsidP="003F7D4E">
            <w:r>
              <w:t>Tonsillitis</w:t>
            </w:r>
            <w:r w:rsidR="00713D0B">
              <w:t xml:space="preserve"> </w:t>
            </w:r>
          </w:p>
        </w:tc>
        <w:tc>
          <w:tcPr>
            <w:tcW w:w="3463" w:type="dxa"/>
          </w:tcPr>
          <w:p w:rsidR="007947AB" w:rsidRDefault="00713D0B" w:rsidP="003F7D4E">
            <w:r>
              <w:t>None.</w:t>
            </w:r>
          </w:p>
        </w:tc>
        <w:tc>
          <w:tcPr>
            <w:tcW w:w="3483" w:type="dxa"/>
          </w:tcPr>
          <w:p w:rsidR="007947AB" w:rsidRDefault="00FE20C0" w:rsidP="003F7D4E">
            <w:r>
              <w:t xml:space="preserve">There are many causes, but most are due to viruses and do not </w:t>
            </w:r>
            <w:r w:rsidR="002E1EAD">
              <w:t>need an antibiotic.</w:t>
            </w:r>
          </w:p>
          <w:p w:rsidR="00EF4AFA" w:rsidRDefault="00EF4AFA" w:rsidP="003F7D4E"/>
        </w:tc>
      </w:tr>
      <w:tr w:rsidR="007947AB" w:rsidTr="00824857">
        <w:tc>
          <w:tcPr>
            <w:tcW w:w="2978" w:type="dxa"/>
          </w:tcPr>
          <w:p w:rsidR="007947AB" w:rsidRDefault="00713D0B" w:rsidP="003F7D4E">
            <w:r>
              <w:t>Hand, Foot and Mouth</w:t>
            </w:r>
          </w:p>
        </w:tc>
        <w:tc>
          <w:tcPr>
            <w:tcW w:w="3463" w:type="dxa"/>
          </w:tcPr>
          <w:p w:rsidR="007947AB" w:rsidRDefault="00713D0B" w:rsidP="003F7D4E">
            <w:r>
              <w:t>None.</w:t>
            </w:r>
          </w:p>
          <w:p w:rsidR="00DA51B3" w:rsidRDefault="00DA51B3" w:rsidP="003F7D4E"/>
        </w:tc>
        <w:tc>
          <w:tcPr>
            <w:tcW w:w="3483" w:type="dxa"/>
          </w:tcPr>
          <w:p w:rsidR="007947AB" w:rsidRDefault="007947AB" w:rsidP="003F7D4E"/>
        </w:tc>
      </w:tr>
    </w:tbl>
    <w:p w:rsidR="00787326" w:rsidRDefault="00787326"/>
    <w:p w:rsidR="00DA51B3" w:rsidRDefault="00824857" w:rsidP="00824857">
      <w:pPr>
        <w:pStyle w:val="ListParagraph"/>
      </w:pPr>
      <w:r>
        <w:t>*</w:t>
      </w:r>
      <w:r w:rsidR="00DA51B3" w:rsidRPr="00EF4AFA">
        <w:t>Female contacts – pregnancy</w:t>
      </w:r>
    </w:p>
    <w:p w:rsidR="00824857" w:rsidRPr="00EF4AFA" w:rsidRDefault="00824857" w:rsidP="00824857">
      <w:pPr>
        <w:pStyle w:val="ListParagraph"/>
      </w:pPr>
    </w:p>
    <w:p w:rsidR="00DA51B3" w:rsidRDefault="00DA51B3" w:rsidP="00824857">
      <w:pPr>
        <w:pStyle w:val="ListParagraph"/>
        <w:numPr>
          <w:ilvl w:val="0"/>
          <w:numId w:val="5"/>
        </w:numPr>
        <w:ind w:left="1134" w:hanging="425"/>
      </w:pPr>
      <w:r>
        <w:t>If a pregnant woman develops a rash or is in direct contact with someone with a potential infectious rash this should be investigated by a doctor.</w:t>
      </w:r>
    </w:p>
    <w:p w:rsidR="00824857" w:rsidRDefault="00824857" w:rsidP="00824857">
      <w:pPr>
        <w:pStyle w:val="ListParagraph"/>
        <w:ind w:left="1134"/>
      </w:pPr>
    </w:p>
    <w:p w:rsidR="00DA51B3" w:rsidRDefault="00DA51B3" w:rsidP="00824857">
      <w:pPr>
        <w:pStyle w:val="ListParagraph"/>
        <w:numPr>
          <w:ilvl w:val="0"/>
          <w:numId w:val="5"/>
        </w:numPr>
        <w:ind w:left="1134" w:hanging="425"/>
      </w:pPr>
      <w:r>
        <w:t>Information taken from the Health</w:t>
      </w:r>
      <w:r w:rsidR="00931184">
        <w:t xml:space="preserve"> Protection Agency’s Guidelines on Infection Control in Schools and other Care Settings.</w:t>
      </w:r>
    </w:p>
    <w:sectPr w:rsidR="00DA51B3" w:rsidSect="008459AA">
      <w:pgSz w:w="11906" w:h="16838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79" w:rsidRDefault="00CC1079" w:rsidP="00435982">
      <w:pPr>
        <w:spacing w:after="0" w:line="240" w:lineRule="auto"/>
      </w:pPr>
      <w:r>
        <w:separator/>
      </w:r>
    </w:p>
  </w:endnote>
  <w:endnote w:type="continuationSeparator" w:id="0">
    <w:p w:rsidR="00CC1079" w:rsidRDefault="00CC1079" w:rsidP="0043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79" w:rsidRDefault="00CC1079" w:rsidP="00435982">
      <w:pPr>
        <w:spacing w:after="0" w:line="240" w:lineRule="auto"/>
      </w:pPr>
      <w:r>
        <w:separator/>
      </w:r>
    </w:p>
  </w:footnote>
  <w:footnote w:type="continuationSeparator" w:id="0">
    <w:p w:rsidR="00CC1079" w:rsidRDefault="00CC1079" w:rsidP="0043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FDE"/>
    <w:multiLevelType w:val="hybridMultilevel"/>
    <w:tmpl w:val="6652E668"/>
    <w:lvl w:ilvl="0" w:tplc="6AEA07D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80ACB"/>
    <w:multiLevelType w:val="hybridMultilevel"/>
    <w:tmpl w:val="523AD7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C0383"/>
    <w:multiLevelType w:val="hybridMultilevel"/>
    <w:tmpl w:val="17CC6174"/>
    <w:lvl w:ilvl="0" w:tplc="B30EB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5C45"/>
    <w:multiLevelType w:val="hybridMultilevel"/>
    <w:tmpl w:val="10DADEE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E12AA1"/>
    <w:multiLevelType w:val="hybridMultilevel"/>
    <w:tmpl w:val="500AED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AB"/>
    <w:rsid w:val="00044BE6"/>
    <w:rsid w:val="00051BCA"/>
    <w:rsid w:val="00091AC6"/>
    <w:rsid w:val="000D29FD"/>
    <w:rsid w:val="001120EA"/>
    <w:rsid w:val="00153C8C"/>
    <w:rsid w:val="001D388F"/>
    <w:rsid w:val="002240E0"/>
    <w:rsid w:val="002C6A03"/>
    <w:rsid w:val="002C75AB"/>
    <w:rsid w:val="002E1EAD"/>
    <w:rsid w:val="00375ABC"/>
    <w:rsid w:val="003F7D4E"/>
    <w:rsid w:val="00435982"/>
    <w:rsid w:val="00453B23"/>
    <w:rsid w:val="004912D9"/>
    <w:rsid w:val="00527313"/>
    <w:rsid w:val="005C3924"/>
    <w:rsid w:val="006313B6"/>
    <w:rsid w:val="00713D0B"/>
    <w:rsid w:val="00787326"/>
    <w:rsid w:val="007947AB"/>
    <w:rsid w:val="007E0470"/>
    <w:rsid w:val="0080708D"/>
    <w:rsid w:val="00824857"/>
    <w:rsid w:val="008459AA"/>
    <w:rsid w:val="0087520E"/>
    <w:rsid w:val="00931184"/>
    <w:rsid w:val="00931B47"/>
    <w:rsid w:val="00B31229"/>
    <w:rsid w:val="00B6438B"/>
    <w:rsid w:val="00C23A9F"/>
    <w:rsid w:val="00CC1079"/>
    <w:rsid w:val="00DA51B3"/>
    <w:rsid w:val="00E60465"/>
    <w:rsid w:val="00EF4AFA"/>
    <w:rsid w:val="00F41E3D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07FF9-58AE-4BB1-960F-4F1D693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82"/>
  </w:style>
  <w:style w:type="paragraph" w:styleId="Footer">
    <w:name w:val="footer"/>
    <w:basedOn w:val="Normal"/>
    <w:link w:val="FooterChar"/>
    <w:unhideWhenUsed/>
    <w:rsid w:val="0043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5982"/>
  </w:style>
  <w:style w:type="paragraph" w:styleId="ListParagraph">
    <w:name w:val="List Paragraph"/>
    <w:basedOn w:val="Normal"/>
    <w:uiPriority w:val="34"/>
    <w:qFormat/>
    <w:rsid w:val="00DA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Katharines Primary School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Pope</dc:creator>
  <cp:keywords/>
  <dc:description/>
  <cp:lastModifiedBy>Tanya Pope</cp:lastModifiedBy>
  <cp:revision>2</cp:revision>
  <cp:lastPrinted>2020-03-06T11:32:00Z</cp:lastPrinted>
  <dcterms:created xsi:type="dcterms:W3CDTF">2022-05-17T10:31:00Z</dcterms:created>
  <dcterms:modified xsi:type="dcterms:W3CDTF">2022-05-17T10:31:00Z</dcterms:modified>
</cp:coreProperties>
</file>